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A3" w:rsidRPr="004834A3" w:rsidRDefault="004834A3" w:rsidP="004834A3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ZAŁĄCZNIK NR 2</w:t>
      </w:r>
    </w:p>
    <w:p w:rsidR="004834A3" w:rsidRDefault="004834A3" w:rsidP="006F79A8">
      <w:pPr>
        <w:pStyle w:val="Default"/>
        <w:ind w:left="708"/>
        <w:rPr>
          <w:rFonts w:asciiTheme="minorHAnsi" w:hAnsiTheme="minorHAnsi" w:cstheme="minorHAnsi"/>
          <w:sz w:val="32"/>
          <w:szCs w:val="32"/>
          <w:u w:val="single"/>
        </w:rPr>
      </w:pPr>
    </w:p>
    <w:p w:rsidR="007465EC" w:rsidRPr="006F79A8" w:rsidRDefault="007465EC" w:rsidP="006F79A8">
      <w:pPr>
        <w:pStyle w:val="Default"/>
        <w:ind w:left="708"/>
        <w:rPr>
          <w:rFonts w:asciiTheme="minorHAnsi" w:hAnsiTheme="minorHAnsi" w:cstheme="minorHAnsi"/>
          <w:sz w:val="32"/>
          <w:szCs w:val="32"/>
          <w:u w:val="single"/>
        </w:rPr>
      </w:pPr>
      <w:bookmarkStart w:id="0" w:name="_GoBack"/>
      <w:bookmarkEnd w:id="0"/>
      <w:r w:rsidRPr="006F79A8">
        <w:rPr>
          <w:rFonts w:asciiTheme="minorHAnsi" w:hAnsiTheme="minorHAnsi" w:cstheme="minorHAnsi"/>
          <w:sz w:val="32"/>
          <w:szCs w:val="32"/>
          <w:u w:val="single"/>
        </w:rPr>
        <w:t xml:space="preserve">PRIORYTETY WOJEWÓDZTWA WARMIŃSKO – MAZURSKIEGO </w:t>
      </w:r>
    </w:p>
    <w:p w:rsidR="007465EC" w:rsidRPr="005C60CE" w:rsidRDefault="007465EC" w:rsidP="007465EC">
      <w:pPr>
        <w:pStyle w:val="Default"/>
        <w:rPr>
          <w:rFonts w:asciiTheme="minorHAnsi" w:hAnsiTheme="minorHAnsi" w:cstheme="minorHAnsi"/>
        </w:rPr>
      </w:pP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b/>
          <w:bCs/>
          <w:sz w:val="23"/>
          <w:szCs w:val="23"/>
        </w:rPr>
        <w:t xml:space="preserve">Priorytet nr 1, tj. Wsparcie kształcenia ustawicznego osób po 50 roku życia.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W ramach niniejszego priorytetu środki KFS będą mogły sfinansować kształcenie ustawiczne osób wyłącznie w wieku powyżej 50 roku życia (zarówno pracodawców jak i pracowników).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Decyduje wiek osoby, która skorzysta z wybranej formy kształcenia ustawicznego, w momencie składania przez pracodawcę wniosku o dofinansowanie w PUP.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Temat szkolenia/kursu nie jest narzucony z góry. W uzasadnieniu należy wykazać potrzebę nabycia umiejętności.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9A653C" w:rsidRPr="005C60CE" w:rsidRDefault="007465EC" w:rsidP="00797DCC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5C60CE">
        <w:rPr>
          <w:rFonts w:asciiTheme="minorHAnsi" w:hAnsiTheme="minorHAnsi" w:cstheme="minorHAnsi"/>
          <w:b/>
          <w:bCs/>
          <w:sz w:val="23"/>
          <w:szCs w:val="23"/>
        </w:rPr>
        <w:t>Priorytet nr 2, tj. Wsparcie kształcenia ustawicznego w obszarach/branżach bezpośrednio związanych z inteligentnymi specjalizacjami (IS) województwa określonymi na podstawie Strategii Rozwoju Społeczno-Gospodarczego Województwa Warmińsko-Mazurskiego 2030 oraz uchwały nr 42/496/22/VI Zarządu Województwa Warmińsko</w:t>
      </w:r>
      <w:r w:rsidRPr="005C60CE">
        <w:rPr>
          <w:rFonts w:asciiTheme="minorHAnsi" w:hAnsiTheme="minorHAnsi" w:cstheme="minorHAnsi"/>
          <w:sz w:val="23"/>
          <w:szCs w:val="23"/>
        </w:rPr>
        <w:t>‐</w:t>
      </w:r>
      <w:r w:rsidRPr="005C60CE">
        <w:rPr>
          <w:rFonts w:asciiTheme="minorHAnsi" w:hAnsiTheme="minorHAnsi" w:cstheme="minorHAnsi"/>
          <w:b/>
          <w:bCs/>
          <w:sz w:val="23"/>
          <w:szCs w:val="23"/>
        </w:rPr>
        <w:t xml:space="preserve">Mazurskiego z dnia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b/>
          <w:bCs/>
          <w:sz w:val="23"/>
          <w:szCs w:val="23"/>
        </w:rPr>
        <w:t>29 sierpnia 2022 r. w sprawie: przyjęcia inteligentnej specjalizacji województwa warmińsko</w:t>
      </w:r>
      <w:r w:rsidRPr="005C60CE">
        <w:rPr>
          <w:rFonts w:asciiTheme="minorHAnsi" w:hAnsiTheme="minorHAnsi" w:cstheme="minorHAnsi"/>
          <w:sz w:val="23"/>
          <w:szCs w:val="23"/>
        </w:rPr>
        <w:t>‐</w:t>
      </w:r>
      <w:r w:rsidRPr="005C60CE">
        <w:rPr>
          <w:rFonts w:asciiTheme="minorHAnsi" w:hAnsiTheme="minorHAnsi" w:cstheme="minorHAnsi"/>
          <w:b/>
          <w:bCs/>
          <w:sz w:val="23"/>
          <w:szCs w:val="23"/>
        </w:rPr>
        <w:t xml:space="preserve">mazurskiego pn. „Zdrowe Życie”. </w:t>
      </w:r>
    </w:p>
    <w:p w:rsidR="009A653C" w:rsidRPr="005C60CE" w:rsidRDefault="009A653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9A653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Podmiot, który chce spełnić wymagania priorytetu nr 2 powinien udowodnić, że prowadzi działalność w jednej ze wskazanych przez urząd branż/obszarów, uznanych jako wymagające szczególnego wsparcia. Kluczowe będzie posiadanie jako przeważającego (według stanu na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1 stycznia 2026 roku) odpowiedniego kodu PKD. </w:t>
      </w:r>
    </w:p>
    <w:p w:rsidR="009A653C" w:rsidRPr="005C60CE" w:rsidRDefault="009A653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Wnioskodawca wskazuje następujące branże/obszary IS działające na terenie województwa warmińsko-mazurskiego: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1) ekonomia wody, w tym: </w:t>
      </w:r>
    </w:p>
    <w:p w:rsidR="009A653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maszyn (m.in. produkcja maszyn do ciecia wodą, technologie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waterjet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, produkcja turbin i elementów do przemysłu stoczniowego i okrętowego),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transport wodny (m.in. rejsy pasażerskie, transport wodny towarów, transport łodzi i jachtów),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sporty wodne (m.in. organizacja imprez sportowych, regat, obozów żeglarskich, szkoły nauki pływania, szkolenia żeglarskie, nauka windsurfingu,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kitesurfingu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, nurkowania, ślizgi na bojerach, sprzedaż i wypożyczanie sprzętu wodnego, usługi sternicze, czartery jachtów i łodzi),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jachtów i łodzi (m.in. producenci jachtów i łodzi motorowych, usługi szkutnicze, pracownie żeglarskie, produkcja żagli),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środowisko przyrodnicze i jego ochrona (m.in. hydroelektrownie – wytwarzanie, przesyłanie, dystrybucja i handel, odprowadzanie i oczyszczalnie ścieków, rekultywacja jezior, infrastruktura wodociągowo-kanalizacyjna, pobór, uzdatnianie i dostarczanie wody, recykling, utylizacja odpadów),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zakwaterowanie i odnowa biologiczna (m.in. hotele, obiekty spa i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wellnes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, parki wodne i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aquasfery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, uzdrowiska),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przemysł rolno-spożywczy (m.in. hodowla ryb i innych organizmów wodnych, przetwarzanie i konserwowanie ryb, produkcja soków, piwa i innych napojów, połów ryb), </w:t>
      </w:r>
    </w:p>
    <w:p w:rsidR="007465EC" w:rsidRPr="005C60CE" w:rsidRDefault="007465EC" w:rsidP="00797DC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lastRenderedPageBreak/>
        <w:t xml:space="preserve">nauka i Instytucje Otoczenia Biznesu (m.in. uczelnie wyższe – edukacja i badania, szkoły tematyczne, instytuty i laboratoria, agencje i organizacje, stowarzyszenia, klastry);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2) żywność wysokiej jakości, w tym: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8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chów i hodowla ryb oraz zwierząt (m.in.. hodowla ryb i innych organizmów wodnych, hodowla bydła i drobiu, pszczelarstwo),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8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przetwórstwo spożywcze (m.in. przetwarzanie i konserwowanie ryb, mięsa oraz produkcja wyrobów z mięs, produkcja wyrobów mleczarskich, przetwórstwo owoców i warzyw, produkcja soków, wód mineralnych i innych napojów, produkcja wyrobów piekarskich, produkcja wyrobów cukierniczych, produkcja napojów alkoholowych i piwa),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8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przetwarzanie i unieszkodliwianie odpadów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porolniczych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 (m.in. utylizacja odpadów pochodzenia zwierzęcego, odzyskiwanie energii i ciepła z odpadów rolniczych – biogazownie),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>produkcja maszyn dla rolnictwa (m.in. produkcja asortymentu dla hodowli ryb, do natleniania stawów rybnych, produkcja maszyn rolniczych, produkcja i sprzedaż maszyn</w:t>
      </w:r>
      <w:r w:rsidR="00327A10" w:rsidRPr="005C60CE">
        <w:rPr>
          <w:rFonts w:asciiTheme="minorHAnsi" w:hAnsiTheme="minorHAnsi" w:cstheme="minorHAnsi"/>
          <w:sz w:val="23"/>
          <w:szCs w:val="23"/>
        </w:rPr>
        <w:t xml:space="preserve"> i linii produkcyjnych do przetwórstwa rolno-spożywczego),</w:t>
      </w:r>
      <w:r w:rsidRPr="005C60C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8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żywności nieprzetworzonej (m.in. uprawa warzyw i owoców, produkty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zwierzęcopochodne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 – mleko, jaja itp., uprawa zbóż, produkcja nasion i traw),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spacing w:after="80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i usługi na rzecz hodowli zwierząt (m.in. produkcja paszy i karmy dla zwierząt), </w:t>
      </w:r>
    </w:p>
    <w:p w:rsidR="007465EC" w:rsidRPr="005C60CE" w:rsidRDefault="007465EC" w:rsidP="00797DC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nauka i Instytucje Otoczenia Biznesu (m.in. instytuty, wydziały, laboratoria na uczelniach i Jednostkach Badawczo-Rozwojowych, agencje organizacji, stowarzyszeń klastrów, grupy producentów rolnych, edukacja zawodowa);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>3) drewno i meblarstwo, w tym: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przetwórstwo i sprzedaż drewna (m.in. produkcja wyrobów tartacznych, produkcja desek budowlanych, podłogowych, konstrukcji dachowych, produkcja arkuszy fornirowych, leśnictwo i pozyskiwanie drewna, sprzedaż drewna),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mebli (m.in. produkcja mebli biurowych, sklepowych kuchennych, produkcja akcesoriów meblowych, tapicerstwo meblowe, produkcja kleju, produkcja materaców, produkcja wyrobów z tworzyw sztucznych, produkcja maszyn, produkcja szkła),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naprawa i konserwacja (m.in. konserwacja elementów drewnianych, renowacja mebli, naprawa zamków),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produkcja innych wyrobów stolarskich (m.in. produkcja elementów drewnianych do ogrodów, usługi stolarskie, stolarka otworowa oraz produkcja metalowych elementów stolarki budowlanej),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sprzedaż produktów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drzewno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-meblarskich (m.in.: sprzedaż mebli, sprzedaż okien i drzwi drewnianych, sprzedaż rolet i zamków do drzwi, montaż systemów antywłamaniowych),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usługi projektowe (m.in. projektowanie mebli, aranżacja wnętrz), </w:t>
      </w:r>
    </w:p>
    <w:p w:rsidR="007465EC" w:rsidRPr="005C60CE" w:rsidRDefault="007465EC" w:rsidP="00797DC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nauka i Instytucje Otoczenia Biznesu (m.in. instytuty, wydziały, laboratoria na uczelniach i Jednostkach Badawczo Rozwojowych, klastry meblarskie, edukacja zawodowa); </w:t>
      </w: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AB167D" w:rsidRPr="005C60CE" w:rsidRDefault="00AB167D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7465EC" w:rsidRPr="005C60CE" w:rsidRDefault="007465EC" w:rsidP="00797D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4) zdrowe życie, w tym m.in.: </w:t>
      </w:r>
    </w:p>
    <w:p w:rsidR="007465EC" w:rsidRPr="005C60CE" w:rsidRDefault="007465EC" w:rsidP="00797DCC">
      <w:pPr>
        <w:pStyle w:val="Default"/>
        <w:numPr>
          <w:ilvl w:val="0"/>
          <w:numId w:val="4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producenci i dystrybutorzy sprzętu oraz produktów medycznych (m.in.: producenci i dystrybutorzy sprzętu medycznego i prozdrowotnego, producenci i dystrybutorzy farmaceutyków i suplementów, pszczelarstwo), </w:t>
      </w:r>
    </w:p>
    <w:p w:rsidR="007465EC" w:rsidRPr="005C60CE" w:rsidRDefault="007465EC" w:rsidP="00797DCC">
      <w:pPr>
        <w:pStyle w:val="Default"/>
        <w:numPr>
          <w:ilvl w:val="0"/>
          <w:numId w:val="4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lastRenderedPageBreak/>
        <w:t xml:space="preserve">dostawcy usług medycznych i </w:t>
      </w:r>
      <w:proofErr w:type="spellStart"/>
      <w:r w:rsidRPr="005C60CE">
        <w:rPr>
          <w:rFonts w:asciiTheme="minorHAnsi" w:hAnsiTheme="minorHAnsi" w:cstheme="minorHAnsi"/>
          <w:sz w:val="23"/>
          <w:szCs w:val="23"/>
        </w:rPr>
        <w:t>okołomedycznych</w:t>
      </w:r>
      <w:proofErr w:type="spellEnd"/>
      <w:r w:rsidRPr="005C60CE">
        <w:rPr>
          <w:rFonts w:asciiTheme="minorHAnsi" w:hAnsiTheme="minorHAnsi" w:cstheme="minorHAnsi"/>
          <w:sz w:val="23"/>
          <w:szCs w:val="23"/>
        </w:rPr>
        <w:t xml:space="preserve"> (m. in.: zakłady ambulatoryjnej opieki zdrowotnej, praktyki lekarskie i przychodnie, szpitale ogólne i uzdrowiskowe zakłady stacjonarnej, całodobowej opieki psychiatrycznej), </w:t>
      </w:r>
    </w:p>
    <w:p w:rsidR="007465EC" w:rsidRPr="005C60CE" w:rsidRDefault="007465EC" w:rsidP="00797DCC">
      <w:pPr>
        <w:pStyle w:val="Default"/>
        <w:numPr>
          <w:ilvl w:val="0"/>
          <w:numId w:val="4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sektor ICT wyspecjalizowany w zakresie ochrony zdrowia (działalność związana z oprogramowaniem), </w:t>
      </w:r>
    </w:p>
    <w:p w:rsidR="007465EC" w:rsidRPr="005C60CE" w:rsidRDefault="007465EC" w:rsidP="00797DCC">
      <w:pPr>
        <w:pStyle w:val="Default"/>
        <w:numPr>
          <w:ilvl w:val="0"/>
          <w:numId w:val="4"/>
        </w:numPr>
        <w:spacing w:after="78"/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dostawcy produktów i usług środowiskowych (m.in.: zbieranie odpadów niebezpiecznych, wytwarzanie energii elektrycznej, przetwarzanie i unieszkodliwianie odpadów niebezpiecznych, działalność ogrodów botanicznych i zoologicznych oraz obszarów i obiektów ochrony przyrody), </w:t>
      </w:r>
    </w:p>
    <w:p w:rsidR="007465EC" w:rsidRPr="005C60CE" w:rsidRDefault="007465EC" w:rsidP="00797DC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C60CE">
        <w:rPr>
          <w:rFonts w:asciiTheme="minorHAnsi" w:hAnsiTheme="minorHAnsi" w:cstheme="minorHAnsi"/>
          <w:sz w:val="23"/>
          <w:szCs w:val="23"/>
        </w:rPr>
        <w:t xml:space="preserve">producenci i dostawcy wiedzy w zakresie zdrowego życia (m.in.: podmioty prowadzące działalność badawczą, uczelnie wyższe, parki naukowo–technologiczne, instytucje otoczenia biznesu). </w:t>
      </w:r>
    </w:p>
    <w:p w:rsidR="003E64C4" w:rsidRPr="000C3779" w:rsidRDefault="003E64C4" w:rsidP="00797DCC">
      <w:pPr>
        <w:jc w:val="both"/>
        <w:rPr>
          <w:rFonts w:ascii="Arial" w:hAnsi="Arial" w:cs="Arial"/>
        </w:rPr>
      </w:pPr>
    </w:p>
    <w:sectPr w:rsidR="003E64C4" w:rsidRPr="000C3779" w:rsidSect="007B182D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E7E30"/>
    <w:multiLevelType w:val="hybridMultilevel"/>
    <w:tmpl w:val="A7EA57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576F2"/>
    <w:multiLevelType w:val="hybridMultilevel"/>
    <w:tmpl w:val="C27806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92558"/>
    <w:multiLevelType w:val="hybridMultilevel"/>
    <w:tmpl w:val="C2D2A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30E1"/>
    <w:multiLevelType w:val="hybridMultilevel"/>
    <w:tmpl w:val="DC52F9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EC"/>
    <w:rsid w:val="000C3779"/>
    <w:rsid w:val="00142311"/>
    <w:rsid w:val="00257BA3"/>
    <w:rsid w:val="00327A10"/>
    <w:rsid w:val="003E64C4"/>
    <w:rsid w:val="004834A3"/>
    <w:rsid w:val="005C60CE"/>
    <w:rsid w:val="006F79A8"/>
    <w:rsid w:val="007465EC"/>
    <w:rsid w:val="00797DCC"/>
    <w:rsid w:val="007B182D"/>
    <w:rsid w:val="008B3E62"/>
    <w:rsid w:val="00943F60"/>
    <w:rsid w:val="009A653C"/>
    <w:rsid w:val="00A62B86"/>
    <w:rsid w:val="00AB167D"/>
    <w:rsid w:val="00B96FC2"/>
    <w:rsid w:val="00CE5676"/>
    <w:rsid w:val="00E23B11"/>
    <w:rsid w:val="00F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F9990-8A9B-44C2-ACDC-053B3F2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leliwa</dc:creator>
  <cp:lastModifiedBy>Leliwa</cp:lastModifiedBy>
  <cp:revision>18</cp:revision>
  <cp:lastPrinted>2026-02-16T11:39:00Z</cp:lastPrinted>
  <dcterms:created xsi:type="dcterms:W3CDTF">2026-01-23T09:45:00Z</dcterms:created>
  <dcterms:modified xsi:type="dcterms:W3CDTF">2026-03-04T10:42:00Z</dcterms:modified>
</cp:coreProperties>
</file>